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等线"/>
          <w:highlight w:val="none"/>
        </w:rPr>
      </w:pPr>
      <w:bookmarkStart w:id="0" w:name="page2"/>
      <w:bookmarkEnd w:id="0"/>
    </w:p>
    <w:p>
      <w:pPr>
        <w:spacing w:line="360" w:lineRule="auto"/>
        <w:ind w:left="2662"/>
        <w:rPr>
          <w:rFonts w:ascii="微软雅黑" w:hAnsi="微软雅黑" w:eastAsia="微软雅黑"/>
          <w:b/>
          <w:sz w:val="28"/>
          <w:highlight w:val="none"/>
        </w:rPr>
      </w:pPr>
      <w:r>
        <w:rPr>
          <w:rFonts w:hint="eastAsia" w:ascii="微软雅黑" w:hAnsi="微软雅黑" w:eastAsia="微软雅黑"/>
          <w:b/>
          <w:sz w:val="28"/>
          <w:highlight w:val="none"/>
        </w:rPr>
        <w:t>泰康</w:t>
      </w:r>
      <w:r>
        <w:rPr>
          <w:rFonts w:ascii="微软雅黑" w:hAnsi="微软雅黑" w:eastAsia="微软雅黑"/>
          <w:b/>
          <w:sz w:val="28"/>
          <w:highlight w:val="none"/>
        </w:rPr>
        <w:t>仙林鼓楼医院健康体检注意事项</w:t>
      </w:r>
    </w:p>
    <w:p>
      <w:pPr>
        <w:numPr>
          <w:ilvl w:val="0"/>
          <w:numId w:val="1"/>
        </w:numPr>
        <w:tabs>
          <w:tab w:val="left" w:pos="503"/>
        </w:tabs>
        <w:spacing w:line="360" w:lineRule="auto"/>
        <w:ind w:left="2" w:right="20" w:hanging="2"/>
        <w:jc w:val="both"/>
        <w:rPr>
          <w:rFonts w:hint="eastAsia" w:ascii="微软雅黑" w:hAnsi="微软雅黑" w:eastAsia="微软雅黑" w:cs="Times New Roman"/>
          <w:color w:val="000000"/>
          <w:sz w:val="24"/>
          <w:highlight w:val="none"/>
        </w:rPr>
      </w:pPr>
      <w:r>
        <w:rPr>
          <w:rFonts w:hint="eastAsia" w:ascii="微软雅黑" w:hAnsi="微软雅黑" w:eastAsia="微软雅黑" w:cs="Times New Roman"/>
          <w:color w:val="000000"/>
          <w:sz w:val="24"/>
          <w:highlight w:val="none"/>
          <w:lang w:val="en-US" w:eastAsia="zh-CN"/>
        </w:rPr>
        <w:t>体检时间：在职教职工体检时间11月14日-18日、11月21日-25日共10天；离退休人员体检时间11月11日-12日。</w:t>
      </w:r>
      <w:bookmarkStart w:id="3" w:name="_GoBack"/>
      <w:bookmarkEnd w:id="3"/>
    </w:p>
    <w:p>
      <w:pPr>
        <w:numPr>
          <w:ilvl w:val="0"/>
          <w:numId w:val="1"/>
        </w:numPr>
        <w:tabs>
          <w:tab w:val="left" w:pos="503"/>
        </w:tabs>
        <w:spacing w:line="360" w:lineRule="auto"/>
        <w:ind w:left="2" w:right="20" w:hanging="2"/>
        <w:jc w:val="both"/>
        <w:rPr>
          <w:rFonts w:hint="eastAsia" w:ascii="微软雅黑" w:hAnsi="微软雅黑" w:eastAsia="微软雅黑" w:cs="Times New Roman"/>
          <w:color w:val="000000"/>
          <w:sz w:val="24"/>
          <w:highlight w:val="none"/>
          <w:lang w:val="en-US" w:eastAsia="zh-CN"/>
        </w:rPr>
      </w:pPr>
      <w:r>
        <w:rPr>
          <w:rFonts w:hint="eastAsia" w:ascii="微软雅黑" w:hAnsi="微软雅黑" w:eastAsia="微软雅黑"/>
          <w:color w:val="000000"/>
          <w:sz w:val="24"/>
          <w:highlight w:val="none"/>
          <w:lang w:val="en-US" w:eastAsia="zh-CN"/>
        </w:rPr>
        <w:t>体检中心每天体检时间为</w:t>
      </w:r>
      <w:r>
        <w:rPr>
          <w:rFonts w:hint="eastAsia" w:ascii="微软雅黑" w:hAnsi="微软雅黑" w:eastAsia="微软雅黑"/>
          <w:b/>
          <w:bCs/>
          <w:color w:val="000000"/>
          <w:sz w:val="24"/>
          <w:highlight w:val="none"/>
        </w:rPr>
        <w:t>07:30-1</w:t>
      </w:r>
      <w:r>
        <w:rPr>
          <w:rFonts w:hint="eastAsia" w:ascii="微软雅黑" w:hAnsi="微软雅黑" w:eastAsia="微软雅黑"/>
          <w:b/>
          <w:bCs/>
          <w:color w:val="000000"/>
          <w:sz w:val="24"/>
          <w:highlight w:val="none"/>
          <w:lang w:val="en-US" w:eastAsia="zh-CN"/>
        </w:rPr>
        <w:t>1</w:t>
      </w:r>
      <w:r>
        <w:rPr>
          <w:rFonts w:hint="eastAsia" w:ascii="微软雅黑" w:hAnsi="微软雅黑" w:eastAsia="微软雅黑"/>
          <w:b/>
          <w:bCs/>
          <w:color w:val="000000"/>
          <w:sz w:val="24"/>
          <w:highlight w:val="none"/>
        </w:rPr>
        <w:t>:</w:t>
      </w:r>
      <w:r>
        <w:rPr>
          <w:rFonts w:hint="eastAsia" w:ascii="微软雅黑" w:hAnsi="微软雅黑" w:eastAsia="微软雅黑"/>
          <w:b/>
          <w:bCs/>
          <w:color w:val="000000"/>
          <w:sz w:val="24"/>
          <w:highlight w:val="none"/>
          <w:lang w:val="en-US" w:eastAsia="zh-CN"/>
        </w:rPr>
        <w:t>0</w:t>
      </w:r>
      <w:r>
        <w:rPr>
          <w:rFonts w:ascii="微软雅黑" w:hAnsi="微软雅黑" w:eastAsia="微软雅黑"/>
          <w:b/>
          <w:bCs/>
          <w:color w:val="000000"/>
          <w:sz w:val="24"/>
          <w:highlight w:val="none"/>
        </w:rPr>
        <w:t>0</w:t>
      </w:r>
      <w:r>
        <w:rPr>
          <w:rFonts w:ascii="微软雅黑" w:hAnsi="微软雅黑" w:eastAsia="微软雅黑"/>
          <w:sz w:val="24"/>
          <w:highlight w:val="none"/>
        </w:rPr>
        <w:t>，含肝胆胰脾超声、肝肾功能、空腹血糖、血脂等项目的体检套餐</w:t>
      </w:r>
      <w:r>
        <w:rPr>
          <w:rFonts w:hint="eastAsia" w:ascii="微软雅黑" w:hAnsi="微软雅黑" w:eastAsia="微软雅黑"/>
          <w:sz w:val="24"/>
          <w:highlight w:val="none"/>
          <w:lang w:eastAsia="zh-CN"/>
        </w:rPr>
        <w:t>，</w:t>
      </w:r>
      <w:r>
        <w:rPr>
          <w:rFonts w:ascii="微软雅黑" w:hAnsi="微软雅黑" w:eastAsia="微软雅黑"/>
          <w:sz w:val="24"/>
          <w:highlight w:val="none"/>
        </w:rPr>
        <w:t xml:space="preserve">建议 </w:t>
      </w:r>
      <w:r>
        <w:rPr>
          <w:rFonts w:hint="eastAsia" w:ascii="微软雅黑" w:hAnsi="微软雅黑" w:eastAsia="微软雅黑"/>
          <w:sz w:val="24"/>
          <w:highlight w:val="none"/>
        </w:rPr>
        <w:t>10</w:t>
      </w:r>
      <w:r>
        <w:rPr>
          <w:rFonts w:ascii="微软雅黑" w:hAnsi="微软雅黑" w:eastAsia="微软雅黑"/>
          <w:sz w:val="24"/>
          <w:highlight w:val="none"/>
        </w:rPr>
        <w:t>:</w:t>
      </w:r>
      <w:r>
        <w:rPr>
          <w:rFonts w:hint="eastAsia" w:ascii="微软雅黑" w:hAnsi="微软雅黑" w:eastAsia="微软雅黑"/>
          <w:sz w:val="24"/>
          <w:highlight w:val="none"/>
          <w:lang w:val="en-US" w:eastAsia="zh-CN"/>
        </w:rPr>
        <w:t>0</w:t>
      </w:r>
      <w:r>
        <w:rPr>
          <w:rFonts w:ascii="微软雅黑" w:hAnsi="微软雅黑" w:eastAsia="微软雅黑"/>
          <w:sz w:val="24"/>
          <w:highlight w:val="none"/>
        </w:rPr>
        <w:t>0 前</w:t>
      </w:r>
      <w:r>
        <w:rPr>
          <w:rFonts w:hint="eastAsia" w:ascii="微软雅黑" w:hAnsi="微软雅黑" w:eastAsia="微软雅黑"/>
          <w:sz w:val="24"/>
          <w:highlight w:val="none"/>
          <w:lang w:eastAsia="zh-CN"/>
        </w:rPr>
        <w:t>到达</w:t>
      </w:r>
      <w:r>
        <w:rPr>
          <w:rFonts w:hint="eastAsia" w:ascii="微软雅黑" w:hAnsi="微软雅黑" w:eastAsia="微软雅黑"/>
          <w:sz w:val="24"/>
          <w:highlight w:val="none"/>
        </w:rPr>
        <w:t>健康管理中心大楼，切勿走错，位置详见</w:t>
      </w:r>
      <w:r>
        <w:rPr>
          <w:rFonts w:hint="eastAsia" w:ascii="微软雅黑" w:hAnsi="微软雅黑" w:eastAsia="微软雅黑" w:cs="Times New Roman"/>
          <w:color w:val="000000"/>
          <w:sz w:val="24"/>
          <w:highlight w:val="none"/>
          <w:lang w:val="en-US" w:eastAsia="zh-CN"/>
        </w:rPr>
        <w:t>下图2。</w:t>
      </w:r>
    </w:p>
    <w:p>
      <w:pPr>
        <w:numPr>
          <w:ilvl w:val="0"/>
          <w:numId w:val="1"/>
        </w:numPr>
        <w:tabs>
          <w:tab w:val="left" w:pos="503"/>
        </w:tabs>
        <w:spacing w:line="360" w:lineRule="auto"/>
        <w:ind w:left="2" w:right="20" w:hanging="2"/>
        <w:jc w:val="both"/>
        <w:rPr>
          <w:rFonts w:hint="eastAsia" w:ascii="微软雅黑" w:hAnsi="微软雅黑" w:eastAsia="微软雅黑" w:cs="Times New Roman"/>
          <w:color w:val="000000"/>
          <w:sz w:val="24"/>
          <w:highlight w:val="none"/>
          <w:lang w:val="en-US" w:eastAsia="zh-CN"/>
        </w:rPr>
      </w:pPr>
      <w:r>
        <w:rPr>
          <w:rFonts w:hint="eastAsia" w:ascii="微软雅黑" w:hAnsi="微软雅黑" w:eastAsia="微软雅黑" w:cs="Times New Roman"/>
          <w:color w:val="000000"/>
          <w:sz w:val="24"/>
          <w:highlight w:val="none"/>
          <w:lang w:val="en-US" w:eastAsia="zh-CN"/>
        </w:rPr>
        <w:t>体检咨询及预约电话——孟晴晴：15151816377（服务时间工作日 07:30-11:30/13:30-16:30）。</w:t>
      </w:r>
    </w:p>
    <w:p>
      <w:pPr>
        <w:numPr>
          <w:ilvl w:val="0"/>
          <w:numId w:val="1"/>
        </w:numPr>
        <w:tabs>
          <w:tab w:val="left" w:pos="503"/>
        </w:tabs>
        <w:spacing w:line="360" w:lineRule="auto"/>
        <w:ind w:left="2" w:right="20" w:hanging="2"/>
        <w:jc w:val="both"/>
        <w:rPr>
          <w:rFonts w:hint="eastAsia" w:ascii="微软雅黑" w:hAnsi="微软雅黑" w:eastAsia="微软雅黑" w:cs="Times New Roman"/>
          <w:color w:val="000000"/>
          <w:sz w:val="24"/>
          <w:highlight w:val="none"/>
          <w:lang w:val="en-US" w:eastAsia="zh-CN"/>
        </w:rPr>
      </w:pPr>
      <w:r>
        <w:rPr>
          <w:rFonts w:hint="eastAsia" w:ascii="微软雅黑" w:hAnsi="微软雅黑" w:eastAsia="微软雅黑" w:cs="Times New Roman"/>
          <w:color w:val="000000"/>
          <w:sz w:val="24"/>
          <w:highlight w:val="none"/>
          <w:lang w:val="en-US" w:eastAsia="zh-CN"/>
        </w:rPr>
        <w:t>体检当天需空腹、不要抽烟、勿饮水，体检前三天勿饮酒，宜清淡饮食，避免剧烈运动。</w:t>
      </w:r>
    </w:p>
    <w:p>
      <w:pPr>
        <w:numPr>
          <w:ilvl w:val="0"/>
          <w:numId w:val="1"/>
        </w:numPr>
        <w:tabs>
          <w:tab w:val="left" w:pos="503"/>
        </w:tabs>
        <w:spacing w:line="360" w:lineRule="auto"/>
        <w:ind w:left="2" w:right="20" w:hanging="2"/>
        <w:jc w:val="both"/>
        <w:rPr>
          <w:rFonts w:ascii="微软雅黑" w:hAnsi="微软雅黑" w:eastAsia="微软雅黑" w:cs="Times New Roman"/>
          <w:sz w:val="24"/>
          <w:highlight w:val="none"/>
        </w:rPr>
      </w:pPr>
      <w:r>
        <w:rPr>
          <w:rFonts w:hint="eastAsia" w:ascii="微软雅黑" w:hAnsi="微软雅黑" w:eastAsia="微软雅黑" w:cs="Times New Roman"/>
          <w:color w:val="000000"/>
          <w:sz w:val="24"/>
          <w:highlight w:val="none"/>
          <w:lang w:val="en-US" w:eastAsia="zh-CN"/>
        </w:rPr>
        <w:t>体检当天需持本人有效身份证件至我院健康管理中心大楼一楼前台登记后，方可进行体检,如老师不需要做CT请在打印体检单时告知前台工作人员。否则一律默认做</w:t>
      </w:r>
      <w:r>
        <w:rPr>
          <w:rFonts w:hint="eastAsia" w:ascii="微软雅黑" w:hAnsi="微软雅黑" w:eastAsia="微软雅黑"/>
          <w:sz w:val="24"/>
          <w:highlight w:val="none"/>
          <w:lang w:val="en-US" w:eastAsia="zh-CN"/>
        </w:rPr>
        <w:t>CT。</w:t>
      </w:r>
    </w:p>
    <w:p>
      <w:pPr>
        <w:numPr>
          <w:ilvl w:val="0"/>
          <w:numId w:val="1"/>
        </w:numPr>
        <w:tabs>
          <w:tab w:val="left" w:pos="502"/>
        </w:tabs>
        <w:spacing w:line="360" w:lineRule="auto"/>
        <w:ind w:left="502" w:leftChars="0" w:hanging="502" w:firstLineChars="0"/>
        <w:jc w:val="both"/>
        <w:rPr>
          <w:rFonts w:hint="eastAsia" w:ascii="微软雅黑" w:hAnsi="微软雅黑" w:eastAsia="微软雅黑" w:cs="Times New Roman"/>
          <w:sz w:val="23"/>
          <w:szCs w:val="22"/>
          <w:highlight w:val="none"/>
          <w:lang w:val="en-US" w:eastAsia="zh-CN"/>
        </w:rPr>
      </w:pPr>
      <w:r>
        <w:rPr>
          <w:rFonts w:hint="eastAsia" w:ascii="微软雅黑" w:hAnsi="微软雅黑" w:eastAsia="微软雅黑" w:cs="Times New Roman"/>
          <w:sz w:val="23"/>
          <w:szCs w:val="22"/>
          <w:highlight w:val="none"/>
          <w:lang w:val="en-US" w:eastAsia="zh-CN"/>
        </w:rPr>
        <w:t>体检当日请勿化妆、请勿佩戴金属饰物、请勿穿紧身裤袜,请勿穿连衣裙、连身衣裤及连裤袜，以免影响体检项目检查</w:t>
      </w:r>
    </w:p>
    <w:p>
      <w:pPr>
        <w:numPr>
          <w:ilvl w:val="0"/>
          <w:numId w:val="1"/>
        </w:numPr>
        <w:tabs>
          <w:tab w:val="left" w:pos="502"/>
        </w:tabs>
        <w:spacing w:line="360" w:lineRule="auto"/>
        <w:ind w:left="502" w:leftChars="0" w:hanging="502" w:firstLineChars="0"/>
        <w:jc w:val="both"/>
        <w:rPr>
          <w:rFonts w:ascii="微软雅黑" w:hAnsi="微软雅黑" w:eastAsia="微软雅黑"/>
          <w:highlight w:val="none"/>
        </w:rPr>
      </w:pPr>
      <w:r>
        <w:rPr>
          <w:rFonts w:hint="eastAsia" w:ascii="微软雅黑" w:hAnsi="微软雅黑" w:eastAsia="微软雅黑" w:cs="Times New Roman"/>
          <w:sz w:val="23"/>
          <w:szCs w:val="22"/>
          <w:highlight w:val="none"/>
          <w:lang w:val="en-US" w:eastAsia="zh-CN"/>
        </w:rPr>
        <w:t>抽血后请按压 5-10 分钟，如有不适请就近躺下，避免晕倒。如有晕针、晕血史，请提前告知护士。</w:t>
      </w:r>
    </w:p>
    <w:p>
      <w:pPr>
        <w:numPr>
          <w:ilvl w:val="0"/>
          <w:numId w:val="1"/>
        </w:numPr>
        <w:tabs>
          <w:tab w:val="left" w:pos="502"/>
        </w:tabs>
        <w:spacing w:line="360" w:lineRule="auto"/>
        <w:ind w:left="502" w:hanging="502"/>
        <w:jc w:val="both"/>
        <w:rPr>
          <w:rFonts w:ascii="微软雅黑" w:hAnsi="微软雅黑" w:eastAsia="微软雅黑"/>
          <w:highlight w:val="none"/>
        </w:rPr>
      </w:pPr>
      <w:r>
        <w:rPr>
          <w:rFonts w:ascii="微软雅黑" w:hAnsi="微软雅黑" w:eastAsia="微软雅黑"/>
          <w:sz w:val="24"/>
          <w:highlight w:val="none"/>
        </w:rPr>
        <w:t>高血压患者体检日可正常服药，以免血压瞬时升高，造成不测。糖尿病患者建议</w:t>
      </w:r>
    </w:p>
    <w:p>
      <w:pPr>
        <w:numPr>
          <w:ilvl w:val="0"/>
          <w:numId w:val="0"/>
        </w:numPr>
        <w:tabs>
          <w:tab w:val="left" w:pos="503"/>
        </w:tabs>
        <w:spacing w:line="360" w:lineRule="auto"/>
        <w:ind w:leftChars="0" w:right="20" w:rightChars="0" w:firstLine="480" w:firstLineChars="200"/>
        <w:jc w:val="both"/>
        <w:rPr>
          <w:rFonts w:ascii="微软雅黑" w:hAnsi="微软雅黑" w:eastAsia="微软雅黑"/>
          <w:highlight w:val="none"/>
        </w:rPr>
      </w:pPr>
      <w:r>
        <w:rPr>
          <w:rFonts w:ascii="微软雅黑" w:hAnsi="微软雅黑" w:eastAsia="微软雅黑"/>
          <w:sz w:val="24"/>
          <w:highlight w:val="none"/>
        </w:rPr>
        <w:t>将药物携带，在采血、B 超检查完成后及时服药，避免出现低血糖。</w:t>
      </w:r>
    </w:p>
    <w:p>
      <w:pPr>
        <w:numPr>
          <w:ilvl w:val="0"/>
          <w:numId w:val="1"/>
        </w:numPr>
        <w:tabs>
          <w:tab w:val="left" w:pos="502"/>
        </w:tabs>
        <w:spacing w:line="360" w:lineRule="auto"/>
        <w:ind w:left="502" w:leftChars="0" w:hanging="502" w:firstLineChars="0"/>
        <w:jc w:val="both"/>
        <w:rPr>
          <w:rFonts w:ascii="微软雅黑" w:hAnsi="微软雅黑" w:eastAsia="微软雅黑"/>
          <w:highlight w:val="none"/>
        </w:rPr>
      </w:pPr>
      <w:r>
        <w:rPr>
          <w:rFonts w:ascii="微软雅黑" w:hAnsi="微软雅黑" w:eastAsia="微软雅黑"/>
          <w:b/>
          <w:color w:val="FF0000"/>
          <w:sz w:val="24"/>
          <w:highlight w:val="none"/>
        </w:rPr>
        <w:t>孕妇、拟在半年内怀孕的妇女及哺乳期妇女，请勿拍</w:t>
      </w:r>
      <w:r>
        <w:rPr>
          <w:rFonts w:hint="eastAsia" w:ascii="微软雅黑" w:hAnsi="微软雅黑" w:eastAsia="微软雅黑"/>
          <w:b/>
          <w:color w:val="FF0000"/>
          <w:sz w:val="24"/>
          <w:highlight w:val="none"/>
        </w:rPr>
        <w:t>CT或</w:t>
      </w:r>
      <w:r>
        <w:rPr>
          <w:rFonts w:ascii="微软雅黑" w:hAnsi="微软雅黑" w:eastAsia="微软雅黑"/>
          <w:b/>
          <w:color w:val="FF0000"/>
          <w:sz w:val="24"/>
          <w:highlight w:val="none"/>
        </w:rPr>
        <w:t>胸片</w:t>
      </w:r>
      <w:r>
        <w:rPr>
          <w:rFonts w:ascii="微软雅黑" w:hAnsi="微软雅黑" w:eastAsia="微软雅黑"/>
          <w:color w:val="000000"/>
          <w:sz w:val="24"/>
          <w:highlight w:val="none"/>
        </w:rPr>
        <w:t>!</w:t>
      </w:r>
    </w:p>
    <w:p>
      <w:pPr>
        <w:numPr>
          <w:ilvl w:val="0"/>
          <w:numId w:val="1"/>
        </w:numPr>
        <w:tabs>
          <w:tab w:val="left" w:pos="502"/>
        </w:tabs>
        <w:spacing w:line="360" w:lineRule="auto"/>
        <w:ind w:left="502" w:leftChars="0" w:hanging="502" w:firstLineChars="0"/>
        <w:jc w:val="both"/>
        <w:rPr>
          <w:rFonts w:ascii="微软雅黑" w:hAnsi="微软雅黑" w:eastAsia="微软雅黑"/>
          <w:highlight w:val="none"/>
        </w:rPr>
      </w:pPr>
      <w:r>
        <w:rPr>
          <w:rFonts w:ascii="微软雅黑" w:hAnsi="微软雅黑" w:eastAsia="微软雅黑"/>
          <w:sz w:val="24"/>
          <w:highlight w:val="none"/>
        </w:rPr>
        <w:t>月经期间，请勿进行尿液、妇检及阴道超声检查，待月经结束后三天再行补检。</w:t>
      </w:r>
    </w:p>
    <w:p>
      <w:pPr>
        <w:numPr>
          <w:ilvl w:val="0"/>
          <w:numId w:val="1"/>
        </w:numPr>
        <w:tabs>
          <w:tab w:val="left" w:pos="502"/>
        </w:tabs>
        <w:spacing w:line="360" w:lineRule="auto"/>
        <w:ind w:left="502" w:leftChars="0" w:hanging="502" w:firstLineChars="0"/>
        <w:jc w:val="both"/>
        <w:rPr>
          <w:rFonts w:ascii="微软雅黑" w:hAnsi="微软雅黑" w:eastAsia="微软雅黑"/>
          <w:highlight w:val="none"/>
        </w:rPr>
      </w:pPr>
      <w:r>
        <w:rPr>
          <w:rFonts w:ascii="微软雅黑" w:hAnsi="微软雅黑" w:eastAsia="微软雅黑"/>
          <w:sz w:val="24"/>
          <w:highlight w:val="none"/>
        </w:rPr>
        <w:t>妇科检查或阴道超声检查仅限于已婚或有性生活者。</w:t>
      </w:r>
    </w:p>
    <w:p>
      <w:pPr>
        <w:numPr>
          <w:ilvl w:val="0"/>
          <w:numId w:val="1"/>
        </w:numPr>
        <w:tabs>
          <w:tab w:val="left" w:pos="502"/>
        </w:tabs>
        <w:spacing w:line="360" w:lineRule="auto"/>
        <w:ind w:left="502" w:leftChars="0" w:hanging="502" w:firstLineChars="0"/>
        <w:jc w:val="both"/>
        <w:rPr>
          <w:rFonts w:ascii="微软雅黑" w:hAnsi="微软雅黑" w:eastAsia="微软雅黑"/>
          <w:highlight w:val="none"/>
        </w:rPr>
      </w:pPr>
      <w:r>
        <w:rPr>
          <w:rFonts w:ascii="微软雅黑" w:hAnsi="微软雅黑" w:eastAsia="微软雅黑"/>
          <w:sz w:val="24"/>
          <w:highlight w:val="none"/>
        </w:rPr>
        <w:t>大便潜血检查需留大便标本，连同化验单放至卫生间专用</w:t>
      </w:r>
      <w:r>
        <w:rPr>
          <w:rFonts w:hint="eastAsia" w:ascii="微软雅黑" w:hAnsi="微软雅黑" w:eastAsia="微软雅黑"/>
          <w:sz w:val="24"/>
          <w:highlight w:val="none"/>
        </w:rPr>
        <w:t>。</w:t>
      </w:r>
    </w:p>
    <w:p>
      <w:pPr>
        <w:numPr>
          <w:ilvl w:val="0"/>
          <w:numId w:val="1"/>
        </w:numPr>
        <w:tabs>
          <w:tab w:val="left" w:pos="502"/>
        </w:tabs>
        <w:spacing w:line="360" w:lineRule="auto"/>
        <w:ind w:left="502" w:leftChars="0" w:hanging="502" w:firstLineChars="0"/>
        <w:jc w:val="both"/>
        <w:rPr>
          <w:rFonts w:hint="eastAsia" w:ascii="微软雅黑" w:hAnsi="微软雅黑" w:eastAsia="微软雅黑" w:cs="Times New Roman"/>
          <w:sz w:val="24"/>
          <w:highlight w:val="none"/>
        </w:rPr>
      </w:pPr>
      <w:r>
        <w:rPr>
          <w:rFonts w:ascii="微软雅黑" w:hAnsi="微软雅黑" w:eastAsia="微软雅黑" w:cs="Times New Roman"/>
          <w:sz w:val="24"/>
          <w:highlight w:val="none"/>
        </w:rPr>
        <w:t>体检项目以外需增加的检查请到服务台联系，开单并缴费后进行</w:t>
      </w:r>
      <w:r>
        <w:rPr>
          <w:rFonts w:hint="eastAsia" w:ascii="微软雅黑" w:hAnsi="微软雅黑" w:eastAsia="微软雅黑" w:cs="Times New Roman"/>
          <w:sz w:val="24"/>
          <w:highlight w:val="none"/>
        </w:rPr>
        <w:t xml:space="preserve">。  </w:t>
      </w:r>
    </w:p>
    <w:p>
      <w:pPr>
        <w:numPr>
          <w:ilvl w:val="0"/>
          <w:numId w:val="1"/>
        </w:numPr>
        <w:tabs>
          <w:tab w:val="left" w:pos="503"/>
        </w:tabs>
        <w:spacing w:line="360" w:lineRule="auto"/>
        <w:ind w:left="502" w:leftChars="0" w:hanging="502" w:firstLineChars="0"/>
        <w:jc w:val="both"/>
        <w:rPr>
          <w:rFonts w:ascii="微软雅黑" w:hAnsi="微软雅黑" w:eastAsia="微软雅黑"/>
          <w:highlight w:val="none"/>
        </w:rPr>
      </w:pPr>
      <w:bookmarkStart w:id="1" w:name="page3"/>
      <w:bookmarkEnd w:id="1"/>
      <w:r>
        <w:rPr>
          <w:rFonts w:ascii="微软雅黑" w:hAnsi="微软雅黑" w:eastAsia="微软雅黑"/>
          <w:sz w:val="24"/>
          <w:highlight w:val="none"/>
        </w:rPr>
        <w:t>请按预约时间参加体检，按预定项目逐科、逐项检查，不要漏检，以免影响最后的健康小结。</w:t>
      </w:r>
    </w:p>
    <w:p>
      <w:pPr>
        <w:numPr>
          <w:ilvl w:val="0"/>
          <w:numId w:val="1"/>
        </w:numPr>
        <w:tabs>
          <w:tab w:val="left" w:pos="503"/>
        </w:tabs>
        <w:spacing w:line="360" w:lineRule="auto"/>
        <w:ind w:left="502" w:leftChars="0" w:hanging="502" w:firstLineChars="0"/>
        <w:jc w:val="both"/>
        <w:rPr>
          <w:rFonts w:ascii="微软雅黑" w:hAnsi="微软雅黑" w:eastAsia="微软雅黑"/>
          <w:highlight w:val="none"/>
        </w:rPr>
      </w:pPr>
      <w:r>
        <w:rPr>
          <w:rFonts w:ascii="微软雅黑" w:hAnsi="微软雅黑" w:eastAsia="微软雅黑"/>
          <w:sz w:val="24"/>
          <w:highlight w:val="none"/>
        </w:rPr>
        <w:t>体检完毕，请将体检导检单交至服务台，按告知时间取体检结果，团体体检</w:t>
      </w:r>
      <w:r>
        <w:rPr>
          <w:rFonts w:hint="eastAsia" w:ascii="微软雅黑" w:hAnsi="微软雅黑" w:eastAsia="微软雅黑"/>
          <w:sz w:val="24"/>
          <w:highlight w:val="none"/>
          <w:lang w:val="en-US" w:eastAsia="zh-CN"/>
        </w:rPr>
        <w:t>报告</w:t>
      </w:r>
      <w:r>
        <w:rPr>
          <w:rFonts w:ascii="微软雅黑" w:hAnsi="微软雅黑" w:eastAsia="微软雅黑"/>
          <w:sz w:val="24"/>
          <w:highlight w:val="none"/>
        </w:rPr>
        <w:t>由单位统一领取。</w:t>
      </w:r>
    </w:p>
    <w:p>
      <w:pPr>
        <w:tabs>
          <w:tab w:val="left" w:pos="982"/>
        </w:tabs>
        <w:spacing w:line="360" w:lineRule="auto"/>
        <w:jc w:val="both"/>
        <w:rPr>
          <w:rFonts w:ascii="微软雅黑" w:hAnsi="微软雅黑" w:eastAsia="微软雅黑"/>
          <w:highlight w:val="none"/>
        </w:rPr>
      </w:pPr>
      <w:r>
        <w:rPr>
          <w:rFonts w:ascii="微软雅黑" w:hAnsi="微软雅黑" w:eastAsia="微软雅黑"/>
          <w:sz w:val="24"/>
          <w:highlight w:val="none"/>
        </w:rPr>
        <w:t>来院交通温馨</w:t>
      </w:r>
      <w:r>
        <w:rPr>
          <w:rFonts w:hint="eastAsia" w:ascii="微软雅黑" w:hAnsi="微软雅黑" w:eastAsia="微软雅黑"/>
          <w:sz w:val="24"/>
          <w:highlight w:val="none"/>
        </w:rPr>
        <w:t>提示</w:t>
      </w:r>
    </w:p>
    <w:p>
      <w:pPr>
        <w:numPr>
          <w:ilvl w:val="1"/>
          <w:numId w:val="2"/>
        </w:numPr>
        <w:tabs>
          <w:tab w:val="left" w:pos="1282"/>
        </w:tabs>
        <w:spacing w:line="360" w:lineRule="auto"/>
        <w:ind w:left="1282" w:hanging="420"/>
        <w:jc w:val="both"/>
        <w:rPr>
          <w:rFonts w:ascii="Wingdings" w:hAnsi="Wingdings" w:eastAsia="Wingdings"/>
          <w:sz w:val="24"/>
          <w:highlight w:val="none"/>
        </w:rPr>
      </w:pPr>
      <w:r>
        <w:rPr>
          <w:rFonts w:ascii="微软雅黑" w:hAnsi="微软雅黑" w:eastAsia="微软雅黑"/>
          <w:sz w:val="24"/>
          <w:highlight w:val="none"/>
        </w:rPr>
        <w:t>仙林鼓楼医院地址：南京市灵山北路 188 号（参考下图</w:t>
      </w:r>
      <w:r>
        <w:rPr>
          <w:rFonts w:hint="eastAsia" w:ascii="微软雅黑" w:hAnsi="微软雅黑" w:eastAsia="微软雅黑"/>
          <w:sz w:val="24"/>
          <w:highlight w:val="none"/>
        </w:rPr>
        <w:t>1</w:t>
      </w:r>
      <w:r>
        <w:rPr>
          <w:rFonts w:ascii="微软雅黑" w:hAnsi="微软雅黑" w:eastAsia="微软雅黑"/>
          <w:sz w:val="24"/>
          <w:highlight w:val="none"/>
        </w:rPr>
        <w:t>）</w:t>
      </w:r>
    </w:p>
    <w:p>
      <w:pPr>
        <w:numPr>
          <w:ilvl w:val="1"/>
          <w:numId w:val="2"/>
        </w:numPr>
        <w:tabs>
          <w:tab w:val="left" w:pos="1282"/>
        </w:tabs>
        <w:spacing w:line="360" w:lineRule="auto"/>
        <w:ind w:left="1282" w:hanging="420"/>
        <w:jc w:val="both"/>
        <w:rPr>
          <w:rFonts w:ascii="Wingdings" w:hAnsi="Wingdings" w:eastAsia="Wingdings"/>
          <w:sz w:val="24"/>
          <w:highlight w:val="none"/>
        </w:rPr>
      </w:pPr>
      <w:r>
        <w:rPr>
          <w:rFonts w:ascii="微软雅黑" w:hAnsi="微软雅黑" w:eastAsia="微软雅黑"/>
          <w:sz w:val="24"/>
          <w:highlight w:val="none"/>
        </w:rPr>
        <w:t>体检中心位置：</w:t>
      </w:r>
      <w:r>
        <w:rPr>
          <w:rFonts w:hint="eastAsia" w:ascii="微软雅黑" w:hAnsi="微软雅黑" w:eastAsia="微软雅黑"/>
          <w:sz w:val="24"/>
          <w:highlight w:val="none"/>
        </w:rPr>
        <w:t>泰康</w:t>
      </w:r>
      <w:r>
        <w:rPr>
          <w:rFonts w:ascii="微软雅黑" w:hAnsi="微软雅黑" w:eastAsia="微软雅黑"/>
          <w:sz w:val="24"/>
          <w:highlight w:val="none"/>
        </w:rPr>
        <w:t>仙林鼓楼医院</w:t>
      </w:r>
      <w:r>
        <w:rPr>
          <w:rFonts w:hint="eastAsia" w:ascii="微软雅黑" w:hAnsi="微软雅黑" w:eastAsia="微软雅黑"/>
          <w:sz w:val="24"/>
          <w:highlight w:val="none"/>
        </w:rPr>
        <w:t>健康管理中心（参考下图2）</w:t>
      </w:r>
    </w:p>
    <w:p>
      <w:pPr>
        <w:numPr>
          <w:ilvl w:val="1"/>
          <w:numId w:val="2"/>
        </w:numPr>
        <w:tabs>
          <w:tab w:val="left" w:pos="1282"/>
        </w:tabs>
        <w:spacing w:line="360" w:lineRule="auto"/>
        <w:ind w:left="1282" w:hanging="420"/>
        <w:jc w:val="both"/>
        <w:rPr>
          <w:rFonts w:ascii="Wingdings" w:hAnsi="Wingdings" w:eastAsia="Wingdings"/>
          <w:sz w:val="24"/>
          <w:highlight w:val="none"/>
        </w:rPr>
      </w:pPr>
      <w:r>
        <w:rPr>
          <w:rFonts w:ascii="微软雅黑" w:hAnsi="微软雅黑" w:eastAsia="微软雅黑"/>
          <w:sz w:val="24"/>
          <w:highlight w:val="none"/>
        </w:rPr>
        <w:t>公交路线：330 路,324 路,322 路,178 路，仙林鼓楼医院(公交站)下</w:t>
      </w:r>
    </w:p>
    <w:p>
      <w:pPr>
        <w:numPr>
          <w:ilvl w:val="1"/>
          <w:numId w:val="2"/>
        </w:numPr>
        <w:tabs>
          <w:tab w:val="left" w:pos="1282"/>
        </w:tabs>
        <w:spacing w:line="360" w:lineRule="auto"/>
        <w:ind w:left="1282" w:hanging="420"/>
        <w:jc w:val="both"/>
        <w:rPr>
          <w:rFonts w:hint="eastAsia" w:ascii="Wingdings" w:hAnsi="Wingdings" w:eastAsia="Wingdings"/>
          <w:sz w:val="24"/>
          <w:highlight w:val="none"/>
        </w:rPr>
      </w:pPr>
      <w:r>
        <w:rPr>
          <w:rFonts w:ascii="微软雅黑" w:hAnsi="微软雅黑" w:eastAsia="微软雅黑"/>
          <w:sz w:val="24"/>
          <w:highlight w:val="none"/>
        </w:rPr>
        <w:t>地 铁：二号线仙林号中心站 1 号口出，沿学子路向南步行十分钟</w:t>
      </w:r>
    </w:p>
    <w:p>
      <w:pPr>
        <w:numPr>
          <w:ilvl w:val="1"/>
          <w:numId w:val="2"/>
        </w:numPr>
        <w:tabs>
          <w:tab w:val="left" w:pos="1282"/>
        </w:tabs>
        <w:spacing w:line="360" w:lineRule="auto"/>
        <w:ind w:left="1282" w:hanging="420"/>
        <w:jc w:val="both"/>
        <w:rPr>
          <w:rFonts w:ascii="Wingdings" w:hAnsi="Wingdings" w:eastAsia="Wingdings"/>
          <w:sz w:val="24"/>
          <w:highlight w:val="none"/>
        </w:rPr>
      </w:pPr>
      <w:r>
        <w:rPr>
          <w:rFonts w:hint="eastAsia" w:ascii="等线" w:hAnsi="等线" w:eastAsia="等线"/>
          <w:sz w:val="24"/>
          <w:highlight w:val="none"/>
        </w:rPr>
        <w:t>开车客户医院入口进入，车辆建议停在健康管理中心停车场及地面</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9" w:type="dxa"/>
            <w:noWrap w:val="0"/>
            <w:vAlign w:val="top"/>
          </w:tcPr>
          <w:p>
            <w:pPr>
              <w:widowControl w:val="0"/>
              <w:tabs>
                <w:tab w:val="left" w:pos="1282"/>
              </w:tabs>
              <w:spacing w:line="360" w:lineRule="auto"/>
              <w:jc w:val="both"/>
              <w:rPr>
                <w:rFonts w:hint="eastAsia" w:ascii="Wingdings" w:hAnsi="Wingdings"/>
                <w:sz w:val="24"/>
                <w:highlight w:val="none"/>
              </w:rPr>
            </w:pPr>
            <w:r>
              <w:rPr>
                <w:rFonts w:hint="eastAsia" w:ascii="Wingdings" w:hAnsi="Wingdings"/>
                <w:sz w:val="24"/>
                <w:highlight w:val="none"/>
              </w:rPr>
              <w:drawing>
                <wp:inline distT="0" distB="0" distL="114300" distR="114300">
                  <wp:extent cx="2825115" cy="2239645"/>
                  <wp:effectExtent l="0" t="0" r="13335" b="8255"/>
                  <wp:docPr id="1"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
                          <pic:cNvPicPr>
                            <a:picLocks noChangeAspect="1"/>
                          </pic:cNvPicPr>
                        </pic:nvPicPr>
                        <pic:blipFill>
                          <a:blip r:embed="rId4"/>
                          <a:stretch>
                            <a:fillRect/>
                          </a:stretch>
                        </pic:blipFill>
                        <pic:spPr>
                          <a:xfrm>
                            <a:off x="0" y="0"/>
                            <a:ext cx="2825115" cy="2239645"/>
                          </a:xfrm>
                          <a:prstGeom prst="rect">
                            <a:avLst/>
                          </a:prstGeom>
                          <a:noFill/>
                          <a:ln>
                            <a:noFill/>
                          </a:ln>
                        </pic:spPr>
                      </pic:pic>
                    </a:graphicData>
                  </a:graphic>
                </wp:inline>
              </w:drawing>
            </w:r>
          </w:p>
        </w:tc>
        <w:tc>
          <w:tcPr>
            <w:tcW w:w="4669" w:type="dxa"/>
            <w:noWrap w:val="0"/>
            <w:vAlign w:val="top"/>
          </w:tcPr>
          <w:p>
            <w:pPr>
              <w:widowControl w:val="0"/>
              <w:tabs>
                <w:tab w:val="left" w:pos="1282"/>
              </w:tabs>
              <w:spacing w:line="360" w:lineRule="auto"/>
              <w:jc w:val="both"/>
              <w:rPr>
                <w:rFonts w:hint="eastAsia" w:ascii="Wingdings" w:hAnsi="Wingdings"/>
                <w:sz w:val="24"/>
                <w:highlight w:val="none"/>
              </w:rPr>
            </w:pPr>
            <w:bookmarkStart w:id="2" w:name="_Hlk75938945"/>
            <w:r>
              <w:rPr>
                <w:rFonts w:hint="eastAsia" w:ascii="Wingdings" w:hAnsi="Wingdings"/>
                <w:sz w:val="24"/>
                <w:highlight w:val="none"/>
              </w:rPr>
              <mc:AlternateContent>
                <mc:Choice Requires="wps">
                  <w:drawing>
                    <wp:anchor distT="0" distB="0" distL="114300" distR="114300" simplePos="0" relativeHeight="251659264" behindDoc="0" locked="0" layoutInCell="1" allowOverlap="1">
                      <wp:simplePos x="0" y="0"/>
                      <wp:positionH relativeFrom="column">
                        <wp:posOffset>2205355</wp:posOffset>
                      </wp:positionH>
                      <wp:positionV relativeFrom="paragraph">
                        <wp:posOffset>1250950</wp:posOffset>
                      </wp:positionV>
                      <wp:extent cx="587375" cy="574675"/>
                      <wp:effectExtent l="19685" t="5080" r="21590" b="10795"/>
                      <wp:wrapNone/>
                      <wp:docPr id="5" name="上箭头 5"/>
                      <wp:cNvGraphicFramePr/>
                      <a:graphic xmlns:a="http://schemas.openxmlformats.org/drawingml/2006/main">
                        <a:graphicData uri="http://schemas.microsoft.com/office/word/2010/wordprocessingShape">
                          <wps:wsp>
                            <wps:cNvSpPr/>
                            <wps:spPr>
                              <a:xfrm>
                                <a:off x="0" y="0"/>
                                <a:ext cx="587375" cy="574675"/>
                              </a:xfrm>
                              <a:prstGeom prst="upArrow">
                                <a:avLst>
                                  <a:gd name="adj1" fmla="val 50000"/>
                                  <a:gd name="adj2" fmla="val 25877"/>
                                </a:avLst>
                              </a:prstGeom>
                              <a:solidFill>
                                <a:srgbClr val="FFFFFF"/>
                              </a:solidFill>
                              <a:ln w="9525" cap="flat" cmpd="sng">
                                <a:solidFill>
                                  <a:srgbClr val="000000"/>
                                </a:solidFill>
                                <a:prstDash val="solid"/>
                                <a:miter/>
                                <a:headEnd type="none" w="med" len="med"/>
                                <a:tailEnd type="none" w="med" len="med"/>
                              </a:ln>
                            </wps:spPr>
                            <wps:txbx>
                              <w:txbxContent>
                                <w:p>
                                  <w:pPr>
                                    <w:rPr>
                                      <w:sz w:val="16"/>
                                      <w:szCs w:val="16"/>
                                    </w:rPr>
                                  </w:pPr>
                                  <w:r>
                                    <w:rPr>
                                      <w:rFonts w:hint="eastAsia"/>
                                      <w:sz w:val="16"/>
                                      <w:szCs w:val="16"/>
                                    </w:rPr>
                                    <w:t>停车场</w:t>
                                  </w:r>
                                </w:p>
                              </w:txbxContent>
                            </wps:txbx>
                            <wps:bodyPr vert="eaVert" upright="1"/>
                          </wps:wsp>
                        </a:graphicData>
                      </a:graphic>
                    </wp:anchor>
                  </w:drawing>
                </mc:Choice>
                <mc:Fallback>
                  <w:pict>
                    <v:shape id="_x0000_s1026" o:spid="_x0000_s1026" o:spt="68" type="#_x0000_t68" style="position:absolute;left:0pt;margin-left:173.65pt;margin-top:98.5pt;height:45.25pt;width:46.25pt;z-index:251659264;mso-width-relative:page;mso-height-relative:page;" fillcolor="#FFFFFF" filled="t" stroked="t" coordsize="21600,21600" o:gfxdata="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AfBHXAAAACwEAAA8AAAAAAAAAAQAgAAAAIgAAAGRycy9kb3ducmV2Lnht&#10;bFBLAQIUABQAAAAIAIdO4kDOFwXPMwIAAI0EAAAOAAAAAAAAAAEAIAAAACYBAABkcnMvZTJvRG9j&#10;LnhtbFBLBQYAAAAABgAGAFkBAADLBQAAAAA=&#10;" adj="5589,5400">
                      <v:fill on="t" focussize="0,0"/>
                      <v:stroke color="#000000" joinstyle="miter"/>
                      <v:imagedata o:title=""/>
                      <o:lock v:ext="edit" aspectratio="f"/>
                      <v:textbox style="layout-flow:vertical-ideographic;">
                        <w:txbxContent>
                          <w:p>
                            <w:pPr>
                              <w:rPr>
                                <w:sz w:val="16"/>
                                <w:szCs w:val="16"/>
                              </w:rPr>
                            </w:pPr>
                            <w:r>
                              <w:rPr>
                                <w:rFonts w:hint="eastAsia"/>
                                <w:sz w:val="16"/>
                                <w:szCs w:val="16"/>
                              </w:rPr>
                              <w:t>停车场</w:t>
                            </w:r>
                          </w:p>
                        </w:txbxContent>
                      </v:textbox>
                    </v:shape>
                  </w:pict>
                </mc:Fallback>
              </mc:AlternateContent>
            </w:r>
            <w:r>
              <w:rPr>
                <w:rFonts w:hint="eastAsia" w:ascii="Wingdings" w:hAnsi="Wingdings"/>
                <w:sz w:val="24"/>
                <w:highlight w:val="none"/>
              </w:rPr>
              <mc:AlternateContent>
                <mc:Choice Requires="wps">
                  <w:drawing>
                    <wp:anchor distT="0" distB="0" distL="114300" distR="114300" simplePos="0" relativeHeight="251660288" behindDoc="0" locked="0" layoutInCell="1" allowOverlap="1">
                      <wp:simplePos x="0" y="0"/>
                      <wp:positionH relativeFrom="column">
                        <wp:posOffset>192405</wp:posOffset>
                      </wp:positionH>
                      <wp:positionV relativeFrom="paragraph">
                        <wp:posOffset>1076960</wp:posOffset>
                      </wp:positionV>
                      <wp:extent cx="1035050" cy="434975"/>
                      <wp:effectExtent l="4445" t="8890" r="27305" b="13335"/>
                      <wp:wrapNone/>
                      <wp:docPr id="3" name="右箭头 3"/>
                      <wp:cNvGraphicFramePr/>
                      <a:graphic xmlns:a="http://schemas.openxmlformats.org/drawingml/2006/main">
                        <a:graphicData uri="http://schemas.microsoft.com/office/word/2010/wordprocessingShape">
                          <wps:wsp>
                            <wps:cNvSpPr/>
                            <wps:spPr>
                              <a:xfrm>
                                <a:off x="0" y="0"/>
                                <a:ext cx="1035050" cy="434975"/>
                              </a:xfrm>
                              <a:prstGeom prst="rightArrow">
                                <a:avLst>
                                  <a:gd name="adj1" fmla="val 50000"/>
                                  <a:gd name="adj2" fmla="val 74285"/>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6"/>
                                      <w:szCs w:val="16"/>
                                    </w:rPr>
                                    <w:t>门诊停车场</w:t>
                                  </w:r>
                                </w:p>
                              </w:txbxContent>
                            </wps:txbx>
                            <wps:bodyPr upright="1"/>
                          </wps:wsp>
                        </a:graphicData>
                      </a:graphic>
                    </wp:anchor>
                  </w:drawing>
                </mc:Choice>
                <mc:Fallback>
                  <w:pict>
                    <v:shape id="_x0000_s1026" o:spid="_x0000_s1026" o:spt="13" type="#_x0000_t13" style="position:absolute;left:0pt;margin-left:15.15pt;margin-top:84.8pt;height:34.25pt;width:81.5pt;z-index:251660288;mso-width-relative:page;mso-height-relative:page;" fillcolor="#FFFFFF" filled="t" stroked="t" coordsize="21600,21600" o:gfxdata="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gAbDNgAAAAKAQAADwAAAAAAAAABACAAAAAiAAAAZHJzL2Rvd25yZXYueG1sUEsBAhQA&#10;FAAAAAgAh07iQNwLaE8rAgAAgwQAAA4AAAAAAAAAAQAgAAAAJwEAAGRycy9lMm9Eb2MueG1sUEsF&#10;BgAAAAAGAAYAWQEAAMQFAAAAAA==&#10;" adj="14857,5400">
                      <v:fill on="t" focussize="0,0"/>
                      <v:stroke color="#000000" joinstyle="miter"/>
                      <v:imagedata o:title=""/>
                      <o:lock v:ext="edit" aspectratio="f"/>
                      <v:textbox>
                        <w:txbxContent>
                          <w:p>
                            <w:r>
                              <w:rPr>
                                <w:rFonts w:hint="eastAsia"/>
                                <w:sz w:val="16"/>
                                <w:szCs w:val="16"/>
                              </w:rPr>
                              <w:t>门诊停车场</w:t>
                            </w:r>
                          </w:p>
                        </w:txbxContent>
                      </v:textbox>
                    </v:shape>
                  </w:pict>
                </mc:Fallback>
              </mc:AlternateContent>
            </w:r>
            <w:r>
              <w:rPr>
                <w:rFonts w:hint="eastAsia" w:ascii="Wingdings" w:hAnsi="Wingdings"/>
                <w:sz w:val="24"/>
                <w:highlight w:val="none"/>
              </w:rPr>
              <w:drawing>
                <wp:inline distT="0" distB="0" distL="114300" distR="114300">
                  <wp:extent cx="2826385" cy="2211705"/>
                  <wp:effectExtent l="0" t="0" r="12065" b="17145"/>
                  <wp:docPr id="4"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
                          <pic:cNvPicPr>
                            <a:picLocks noChangeAspect="1"/>
                          </pic:cNvPicPr>
                        </pic:nvPicPr>
                        <pic:blipFill>
                          <a:blip r:embed="rId5"/>
                          <a:stretch>
                            <a:fillRect/>
                          </a:stretch>
                        </pic:blipFill>
                        <pic:spPr>
                          <a:xfrm>
                            <a:off x="0" y="0"/>
                            <a:ext cx="2826385" cy="2211705"/>
                          </a:xfrm>
                          <a:prstGeom prst="rect">
                            <a:avLst/>
                          </a:prstGeom>
                          <a:noFill/>
                          <a:ln>
                            <a:noFill/>
                          </a:ln>
                        </pic:spPr>
                      </pic:pic>
                    </a:graphicData>
                  </a:graphic>
                </wp:inline>
              </w:drawing>
            </w:r>
            <w:bookmarkEnd w:id="2"/>
          </w:p>
        </w:tc>
      </w:tr>
    </w:tbl>
    <w:p>
      <w:pPr>
        <w:tabs>
          <w:tab w:val="left" w:pos="1282"/>
        </w:tabs>
        <w:spacing w:line="360" w:lineRule="auto"/>
        <w:jc w:val="both"/>
        <w:rPr>
          <w:rFonts w:hint="eastAsia" w:ascii="Wingdings" w:hAnsi="Wingdings"/>
          <w:sz w:val="24"/>
          <w:highlight w:val="none"/>
        </w:rPr>
        <w:sectPr>
          <w:pgSz w:w="11900" w:h="16838"/>
          <w:pgMar w:top="1440" w:right="1120" w:bottom="938" w:left="1658" w:header="0" w:footer="0" w:gutter="0"/>
          <w:cols w:space="720" w:num="1"/>
          <w:rtlGutter w:val="1"/>
          <w:docGrid w:linePitch="360" w:charSpace="0"/>
        </w:sectPr>
      </w:pPr>
    </w:p>
    <w:p>
      <w:pPr>
        <w:spacing w:line="360" w:lineRule="auto"/>
        <w:rPr>
          <w:rFonts w:eastAsia="Times New Roman"/>
          <w:highlight w:val="none"/>
        </w:rPr>
      </w:pPr>
    </w:p>
    <w:p>
      <w:pPr>
        <w:spacing w:line="360" w:lineRule="auto"/>
        <w:rPr>
          <w:rFonts w:eastAsia="Times New Roman"/>
          <w:highlight w:val="none"/>
        </w:rPr>
      </w:pPr>
    </w:p>
    <w:p>
      <w:pPr>
        <w:spacing w:line="360" w:lineRule="auto"/>
        <w:rPr>
          <w:rFonts w:eastAsia="Times New Roman"/>
          <w:highlight w:val="none"/>
        </w:rPr>
      </w:pPr>
    </w:p>
    <w:p>
      <w:pPr>
        <w:spacing w:line="360" w:lineRule="auto"/>
        <w:rPr>
          <w:rFonts w:eastAsia="Times New Roman"/>
          <w:highlight w:val="none"/>
        </w:rPr>
      </w:pPr>
    </w:p>
    <w:sectPr>
      <w:type w:val="continuous"/>
      <w:pgSz w:w="11900" w:h="16838"/>
      <w:pgMar w:top="1440" w:right="1120" w:bottom="938" w:left="10680" w:header="0" w:footer="0" w:gutter="0"/>
      <w:cols w:space="720" w:num="1"/>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1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DllZTdlOWQyZDdiZjNjNDYyODg0YmJjMDVhYzcifQ=="/>
  </w:docVars>
  <w:rsids>
    <w:rsidRoot w:val="1A215778"/>
    <w:rsid w:val="0FA0766A"/>
    <w:rsid w:val="1A215778"/>
    <w:rsid w:val="43DF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801</Words>
  <Characters>876</Characters>
  <Lines>0</Lines>
  <Paragraphs>0</Paragraphs>
  <TotalTime>20</TotalTime>
  <ScaleCrop>false</ScaleCrop>
  <LinksUpToDate>false</LinksUpToDate>
  <CharactersWithSpaces>893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2022-10-18T02:09:00Z</dcterms:created>
  <dc:creator>PH</dc:creator>
  <cp:lastModifiedBy>PH</cp:lastModifiedBy>
  <dcterms:modified xsi:type="dcterms:W3CDTF">2022-11-07T01:28:46Z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FC256730087B482691203455C04C846C</vt:lpwstr>
  </property>
</Properties>
</file>